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743978">
        <w:rPr>
          <w:b/>
          <w:sz w:val="26"/>
          <w:szCs w:val="26"/>
        </w:rPr>
        <w:t>52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0C747A">
      <w:pPr>
        <w:spacing w:line="276" w:lineRule="auto"/>
        <w:ind w:firstLine="567"/>
        <w:jc w:val="center"/>
        <w:rPr>
          <w:b/>
          <w:bCs/>
          <w:color w:val="FF0000"/>
          <w:sz w:val="26"/>
          <w:szCs w:val="26"/>
        </w:rPr>
      </w:pPr>
      <w:r w:rsidRPr="00195E64">
        <w:rPr>
          <w:b/>
          <w:bCs/>
          <w:sz w:val="26"/>
          <w:szCs w:val="26"/>
        </w:rPr>
        <w:t xml:space="preserve">на право заключения договора на </w:t>
      </w:r>
      <w:r w:rsidR="00EF56BA">
        <w:rPr>
          <w:b/>
          <w:bCs/>
          <w:sz w:val="26"/>
          <w:szCs w:val="26"/>
        </w:rPr>
        <w:t>поставку</w:t>
      </w:r>
      <w:r w:rsidR="00D674F1">
        <w:rPr>
          <w:b/>
          <w:bCs/>
          <w:sz w:val="26"/>
          <w:szCs w:val="26"/>
        </w:rPr>
        <w:t xml:space="preserve"> комплектной трансформаторной подстанции </w:t>
      </w:r>
      <w:r w:rsidR="000C747A">
        <w:rPr>
          <w:b/>
          <w:bCs/>
          <w:sz w:val="26"/>
          <w:szCs w:val="26"/>
        </w:rPr>
        <w:t xml:space="preserve"> </w:t>
      </w:r>
      <w:r w:rsidR="00EF56BA">
        <w:rPr>
          <w:b/>
          <w:sz w:val="26"/>
          <w:szCs w:val="26"/>
        </w:rPr>
        <w:t>БКТП-1</w:t>
      </w:r>
      <w:r w:rsidR="0035623F">
        <w:rPr>
          <w:b/>
          <w:sz w:val="26"/>
          <w:szCs w:val="26"/>
        </w:rPr>
        <w:t>0</w:t>
      </w:r>
      <w:r w:rsidR="00EF56BA">
        <w:rPr>
          <w:b/>
          <w:sz w:val="26"/>
          <w:szCs w:val="26"/>
        </w:rPr>
        <w:t>00кВА/6</w:t>
      </w:r>
      <w:r w:rsidR="00D674F1" w:rsidRPr="00360D9F">
        <w:rPr>
          <w:b/>
          <w:sz w:val="26"/>
          <w:szCs w:val="26"/>
        </w:rPr>
        <w:t>/0,4кВ</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674F1" w:rsidRDefault="000C747A" w:rsidP="00D674F1">
            <w:pPr>
              <w:spacing w:line="276" w:lineRule="auto"/>
              <w:rPr>
                <w:bCs/>
                <w:color w:val="FF0000"/>
                <w:sz w:val="26"/>
                <w:szCs w:val="26"/>
              </w:rPr>
            </w:pPr>
            <w:r>
              <w:rPr>
                <w:sz w:val="26"/>
                <w:szCs w:val="26"/>
              </w:rPr>
              <w:t xml:space="preserve">Поставка </w:t>
            </w:r>
            <w:r w:rsidR="00D674F1" w:rsidRPr="00D674F1">
              <w:rPr>
                <w:bCs/>
                <w:sz w:val="26"/>
                <w:szCs w:val="26"/>
              </w:rPr>
              <w:t xml:space="preserve">комплектной трансформаторной подстанции  </w:t>
            </w:r>
            <w:r w:rsidR="00EF56BA">
              <w:rPr>
                <w:sz w:val="26"/>
                <w:szCs w:val="26"/>
              </w:rPr>
              <w:t>КТП-1</w:t>
            </w:r>
            <w:r w:rsidR="0035623F">
              <w:rPr>
                <w:sz w:val="26"/>
                <w:szCs w:val="26"/>
              </w:rPr>
              <w:t>0</w:t>
            </w:r>
            <w:r w:rsidR="00EF56BA">
              <w:rPr>
                <w:sz w:val="26"/>
                <w:szCs w:val="26"/>
              </w:rPr>
              <w:t>00кВА/6</w:t>
            </w:r>
            <w:r w:rsidR="00D674F1" w:rsidRPr="00D674F1">
              <w:rPr>
                <w:sz w:val="26"/>
                <w:szCs w:val="26"/>
              </w:rPr>
              <w:t>/0,4кВ</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B3F66" w:rsidRDefault="00CB3F66" w:rsidP="00C37591">
            <w:pPr>
              <w:pStyle w:val="rvps9"/>
              <w:rPr>
                <w:iCs/>
                <w:sz w:val="26"/>
                <w:szCs w:val="26"/>
              </w:rPr>
            </w:pPr>
            <w:r w:rsidRPr="00CB3F66">
              <w:rPr>
                <w:iCs/>
                <w:sz w:val="26"/>
                <w:szCs w:val="26"/>
              </w:rPr>
              <w:t>1 912 888,89 (Один</w:t>
            </w:r>
            <w:r w:rsidR="00EC1C43" w:rsidRPr="00CB3F66">
              <w:rPr>
                <w:iCs/>
                <w:sz w:val="26"/>
                <w:szCs w:val="26"/>
              </w:rPr>
              <w:t xml:space="preserve"> миллион</w:t>
            </w:r>
            <w:r w:rsidRPr="00CB3F66">
              <w:rPr>
                <w:iCs/>
                <w:sz w:val="26"/>
                <w:szCs w:val="26"/>
              </w:rPr>
              <w:t xml:space="preserve"> девятьсот двенадцать</w:t>
            </w:r>
            <w:r w:rsidR="00EC1C43" w:rsidRPr="00CB3F66">
              <w:rPr>
                <w:iCs/>
                <w:sz w:val="26"/>
                <w:szCs w:val="26"/>
              </w:rPr>
              <w:t xml:space="preserve"> тысяч</w:t>
            </w:r>
            <w:r w:rsidRPr="00CB3F66">
              <w:rPr>
                <w:iCs/>
                <w:sz w:val="26"/>
                <w:szCs w:val="26"/>
              </w:rPr>
              <w:t xml:space="preserve"> восемьсот восемьдесят восемь</w:t>
            </w:r>
            <w:r w:rsidR="009C5EE7" w:rsidRPr="00CB3F66">
              <w:rPr>
                <w:iCs/>
                <w:sz w:val="26"/>
                <w:szCs w:val="26"/>
              </w:rPr>
              <w:t>) руб.</w:t>
            </w:r>
            <w:r w:rsidR="00A02824" w:rsidRPr="00CB3F66">
              <w:rPr>
                <w:iCs/>
                <w:sz w:val="26"/>
                <w:szCs w:val="26"/>
              </w:rPr>
              <w:t xml:space="preserve"> </w:t>
            </w:r>
            <w:r w:rsidRPr="00CB3F66">
              <w:rPr>
                <w:iCs/>
                <w:sz w:val="26"/>
                <w:szCs w:val="26"/>
              </w:rPr>
              <w:t>89</w:t>
            </w:r>
            <w:r w:rsidR="00A02824" w:rsidRPr="00CB3F66">
              <w:rPr>
                <w:iCs/>
                <w:sz w:val="26"/>
                <w:szCs w:val="26"/>
              </w:rPr>
              <w:t xml:space="preserve"> коп</w:t>
            </w:r>
            <w:proofErr w:type="gramStart"/>
            <w:r w:rsidR="00A02824" w:rsidRPr="00CB3F66">
              <w:rPr>
                <w:iCs/>
                <w:sz w:val="26"/>
                <w:szCs w:val="26"/>
              </w:rPr>
              <w:t>.</w:t>
            </w:r>
            <w:r w:rsidR="009C5EE7" w:rsidRPr="00CB3F66">
              <w:rPr>
                <w:iCs/>
                <w:sz w:val="26"/>
                <w:szCs w:val="26"/>
              </w:rPr>
              <w:t xml:space="preserve">, </w:t>
            </w:r>
            <w:proofErr w:type="gramEnd"/>
            <w:r w:rsidR="00D61FA5" w:rsidRPr="00CB3F66">
              <w:rPr>
                <w:iCs/>
                <w:sz w:val="26"/>
                <w:szCs w:val="26"/>
              </w:rPr>
              <w:t>без</w:t>
            </w:r>
            <w:r w:rsidR="009C5EE7" w:rsidRPr="00CB3F66">
              <w:rPr>
                <w:iCs/>
                <w:sz w:val="26"/>
                <w:szCs w:val="26"/>
              </w:rPr>
              <w:t xml:space="preserve"> </w:t>
            </w:r>
            <w:r w:rsidR="00C37591" w:rsidRPr="00CB3F66">
              <w:rPr>
                <w:iCs/>
                <w:sz w:val="26"/>
                <w:szCs w:val="26"/>
              </w:rPr>
              <w:t xml:space="preserve">учета </w:t>
            </w:r>
            <w:r w:rsidR="009C5EE7" w:rsidRPr="00CB3F66">
              <w:rPr>
                <w:iCs/>
                <w:sz w:val="26"/>
                <w:szCs w:val="26"/>
              </w:rPr>
              <w:t>НДС</w:t>
            </w:r>
          </w:p>
          <w:p w:rsidR="00863412" w:rsidRPr="004111EB" w:rsidRDefault="00CB3F66" w:rsidP="00C37591">
            <w:pPr>
              <w:pStyle w:val="rvps9"/>
              <w:rPr>
                <w:iCs/>
                <w:sz w:val="26"/>
                <w:szCs w:val="26"/>
              </w:rPr>
            </w:pPr>
            <w:r w:rsidRPr="00CB3F66">
              <w:rPr>
                <w:iCs/>
                <w:sz w:val="26"/>
                <w:szCs w:val="26"/>
              </w:rPr>
              <w:t>2 295 466,67 (Два</w:t>
            </w:r>
            <w:r w:rsidR="00C37591" w:rsidRPr="00CB3F66">
              <w:rPr>
                <w:iCs/>
                <w:sz w:val="26"/>
                <w:szCs w:val="26"/>
              </w:rPr>
              <w:t xml:space="preserve"> </w:t>
            </w:r>
            <w:r w:rsidRPr="00CB3F66">
              <w:rPr>
                <w:iCs/>
                <w:sz w:val="26"/>
                <w:szCs w:val="26"/>
              </w:rPr>
              <w:t>миллиона двести девяносто пять</w:t>
            </w:r>
            <w:r w:rsidR="00C37591" w:rsidRPr="00CB3F66">
              <w:rPr>
                <w:iCs/>
                <w:sz w:val="26"/>
                <w:szCs w:val="26"/>
              </w:rPr>
              <w:t xml:space="preserve"> тысяч</w:t>
            </w:r>
            <w:r w:rsidRPr="00CB3F66">
              <w:rPr>
                <w:iCs/>
                <w:sz w:val="26"/>
                <w:szCs w:val="26"/>
              </w:rPr>
              <w:t xml:space="preserve"> четыреста шестьдесят шесть</w:t>
            </w:r>
            <w:r w:rsidR="00C37591" w:rsidRPr="00CB3F66">
              <w:rPr>
                <w:iCs/>
                <w:sz w:val="26"/>
                <w:szCs w:val="26"/>
              </w:rPr>
              <w:t xml:space="preserve">) </w:t>
            </w:r>
            <w:r w:rsidR="00195E64" w:rsidRPr="00CB3F66">
              <w:rPr>
                <w:iCs/>
                <w:sz w:val="26"/>
                <w:szCs w:val="26"/>
              </w:rPr>
              <w:t xml:space="preserve"> </w:t>
            </w:r>
            <w:r w:rsidRPr="00CB3F66">
              <w:rPr>
                <w:iCs/>
                <w:sz w:val="26"/>
                <w:szCs w:val="26"/>
              </w:rPr>
              <w:t>руб. 67</w:t>
            </w:r>
            <w:r w:rsidR="00C37591" w:rsidRPr="00CB3F66">
              <w:rPr>
                <w:iCs/>
                <w:sz w:val="26"/>
                <w:szCs w:val="26"/>
              </w:rPr>
              <w:t xml:space="preserve"> коп</w:t>
            </w:r>
            <w:proofErr w:type="gramStart"/>
            <w:r w:rsidR="00C37591" w:rsidRPr="00CB3F66">
              <w:rPr>
                <w:iCs/>
                <w:sz w:val="26"/>
                <w:szCs w:val="26"/>
              </w:rPr>
              <w:t xml:space="preserve">., </w:t>
            </w:r>
            <w:proofErr w:type="gramEnd"/>
            <w:r w:rsidR="00C37591" w:rsidRPr="00CB3F66">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35623F" w:rsidP="00E55678">
            <w:pPr>
              <w:rPr>
                <w:sz w:val="26"/>
                <w:szCs w:val="26"/>
              </w:rPr>
            </w:pPr>
            <w:r>
              <w:rPr>
                <w:sz w:val="26"/>
                <w:szCs w:val="26"/>
              </w:rPr>
              <w:t>Попов И.Н.</w:t>
            </w:r>
            <w:r w:rsidR="00B05721" w:rsidRPr="00F85793">
              <w:rPr>
                <w:sz w:val="26"/>
                <w:szCs w:val="26"/>
              </w:rPr>
              <w:t xml:space="preserve">, </w:t>
            </w:r>
            <w:proofErr w:type="spellStart"/>
            <w:r>
              <w:rPr>
                <w:sz w:val="26"/>
                <w:szCs w:val="26"/>
                <w:lang w:val="en-US"/>
              </w:rPr>
              <w:t>igor</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35623F">
              <w:rPr>
                <w:rFonts w:ascii="Times New Roman" w:hAnsi="Times New Roman"/>
                <w:sz w:val="26"/>
                <w:szCs w:val="26"/>
              </w:rPr>
              <w:t xml:space="preserve"> (доп. 1</w:t>
            </w:r>
            <w:r w:rsidR="0035623F">
              <w:rPr>
                <w:rFonts w:ascii="Times New Roman" w:hAnsi="Times New Roman"/>
                <w:sz w:val="26"/>
                <w:szCs w:val="26"/>
                <w:lang w:val="en-US"/>
              </w:rPr>
              <w:t>03</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EF56BA">
              <w:rPr>
                <w:sz w:val="26"/>
                <w:szCs w:val="26"/>
              </w:rPr>
              <w:t>31</w:t>
            </w:r>
            <w:r w:rsidRPr="004111EB">
              <w:rPr>
                <w:sz w:val="26"/>
                <w:szCs w:val="26"/>
              </w:rPr>
              <w:t xml:space="preserve">» </w:t>
            </w:r>
            <w:r w:rsidR="0035623F">
              <w:rPr>
                <w:sz w:val="26"/>
                <w:szCs w:val="26"/>
              </w:rPr>
              <w:t>августа</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F56BA">
              <w:rPr>
                <w:sz w:val="26"/>
                <w:szCs w:val="26"/>
              </w:rPr>
              <w:t>09</w:t>
            </w:r>
            <w:r w:rsidRPr="004111EB">
              <w:rPr>
                <w:sz w:val="26"/>
                <w:szCs w:val="26"/>
              </w:rPr>
              <w:t xml:space="preserve">» </w:t>
            </w:r>
            <w:r w:rsidR="0035623F">
              <w:rPr>
                <w:sz w:val="26"/>
                <w:szCs w:val="26"/>
              </w:rPr>
              <w:t>сентября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35623F">
              <w:rPr>
                <w:sz w:val="26"/>
                <w:szCs w:val="26"/>
              </w:rPr>
              <w:t>01</w:t>
            </w:r>
            <w:r w:rsidRPr="004111EB">
              <w:rPr>
                <w:iCs/>
                <w:sz w:val="26"/>
                <w:szCs w:val="26"/>
              </w:rPr>
              <w:t>.</w:t>
            </w:r>
          </w:p>
          <w:p w:rsidR="00B05721" w:rsidRPr="004111EB" w:rsidRDefault="00233BBF" w:rsidP="00A713F4">
            <w:pPr>
              <w:jc w:val="both"/>
              <w:rPr>
                <w:sz w:val="26"/>
                <w:szCs w:val="26"/>
              </w:rPr>
            </w:pPr>
            <w:r w:rsidRPr="004111EB">
              <w:rPr>
                <w:sz w:val="26"/>
                <w:szCs w:val="26"/>
              </w:rPr>
              <w:t>«</w:t>
            </w:r>
            <w:r w:rsidR="00EF56BA">
              <w:rPr>
                <w:sz w:val="26"/>
                <w:szCs w:val="26"/>
              </w:rPr>
              <w:t>10</w:t>
            </w:r>
            <w:r w:rsidRPr="004111EB">
              <w:rPr>
                <w:sz w:val="26"/>
                <w:szCs w:val="26"/>
              </w:rPr>
              <w:t xml:space="preserve">» </w:t>
            </w:r>
            <w:r w:rsidR="0035623F">
              <w:rPr>
                <w:sz w:val="26"/>
                <w:szCs w:val="26"/>
              </w:rPr>
              <w:t>сентября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EF56BA">
              <w:rPr>
                <w:sz w:val="26"/>
                <w:szCs w:val="26"/>
              </w:rPr>
              <w:t>10</w:t>
            </w:r>
            <w:r w:rsidRPr="004111EB">
              <w:rPr>
                <w:sz w:val="26"/>
                <w:szCs w:val="26"/>
              </w:rPr>
              <w:t xml:space="preserve">» </w:t>
            </w:r>
            <w:r w:rsidR="0035623F">
              <w:rPr>
                <w:sz w:val="26"/>
                <w:szCs w:val="26"/>
              </w:rPr>
              <w:t>сентября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EF56BA">
              <w:rPr>
                <w:sz w:val="26"/>
                <w:szCs w:val="26"/>
              </w:rPr>
              <w:t>10</w:t>
            </w:r>
            <w:r w:rsidRPr="004111EB">
              <w:rPr>
                <w:sz w:val="26"/>
                <w:szCs w:val="26"/>
              </w:rPr>
              <w:t xml:space="preserve">» </w:t>
            </w:r>
            <w:r w:rsidR="0035623F">
              <w:rPr>
                <w:sz w:val="26"/>
                <w:szCs w:val="26"/>
              </w:rPr>
              <w:t>сентября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w:t>
            </w:r>
            <w:r w:rsidRPr="008305EE">
              <w:rPr>
                <w:sz w:val="26"/>
                <w:szCs w:val="26"/>
              </w:rPr>
              <w:lastRenderedPageBreak/>
              <w:t xml:space="preserve">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 xml:space="preserve">в определении поставщика (подрядчика, исполнителя) не </w:t>
            </w:r>
            <w:r w:rsidRPr="008305EE">
              <w:rPr>
                <w:sz w:val="26"/>
                <w:szCs w:val="26"/>
              </w:rPr>
              <w:lastRenderedPageBreak/>
              <w:t>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 xml:space="preserve">чественных </w:t>
            </w:r>
            <w:r w:rsidR="002905FB">
              <w:rPr>
                <w:i/>
                <w:sz w:val="26"/>
                <w:szCs w:val="26"/>
              </w:rPr>
              <w:lastRenderedPageBreak/>
              <w:t>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w:t>
            </w:r>
            <w:r w:rsidRPr="008305EE">
              <w:rPr>
                <w:rFonts w:ascii="Times New Roman" w:hAnsi="Times New Roman"/>
                <w:b w:val="0"/>
                <w:sz w:val="26"/>
                <w:szCs w:val="26"/>
              </w:rPr>
              <w:lastRenderedPageBreak/>
              <w:t xml:space="preserve">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lastRenderedPageBreak/>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305EE">
              <w:rPr>
                <w:sz w:val="26"/>
                <w:szCs w:val="26"/>
              </w:rPr>
              <w:lastRenderedPageBreak/>
              <w:t>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w:t>
            </w:r>
            <w:r w:rsidRPr="008305EE">
              <w:rPr>
                <w:sz w:val="26"/>
                <w:szCs w:val="26"/>
              </w:rPr>
              <w:lastRenderedPageBreak/>
              <w:t>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 xml:space="preserve">представлять все документы, входящие в состав заявки </w:t>
            </w:r>
            <w:r w:rsidRPr="008305EE">
              <w:rPr>
                <w:rFonts w:ascii="Times New Roman" w:hAnsi="Times New Roman" w:cs="Times New Roman"/>
                <w:sz w:val="26"/>
                <w:szCs w:val="26"/>
              </w:rPr>
              <w:lastRenderedPageBreak/>
              <w:t>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EF56BA">
              <w:rPr>
                <w:b/>
                <w:i/>
                <w:sz w:val="26"/>
                <w:szCs w:val="26"/>
              </w:rPr>
              <w:t>06</w:t>
            </w:r>
            <w:r w:rsidRPr="004111EB">
              <w:rPr>
                <w:b/>
                <w:i/>
                <w:sz w:val="26"/>
                <w:szCs w:val="26"/>
              </w:rPr>
              <w:t xml:space="preserve">» </w:t>
            </w:r>
            <w:r w:rsidR="00EF56BA">
              <w:rPr>
                <w:b/>
                <w:i/>
                <w:sz w:val="26"/>
                <w:szCs w:val="26"/>
              </w:rPr>
              <w:t>сентября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lastRenderedPageBreak/>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w:t>
            </w:r>
            <w:r w:rsidRPr="008305EE">
              <w:rPr>
                <w:sz w:val="26"/>
                <w:szCs w:val="26"/>
              </w:rPr>
              <w:lastRenderedPageBreak/>
              <w:t xml:space="preserve">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 xml:space="preserve">При присвоении равных баллов участникам закупки </w:t>
            </w:r>
            <w:r w:rsidRPr="008305EE">
              <w:rPr>
                <w:sz w:val="26"/>
                <w:szCs w:val="26"/>
              </w:rPr>
              <w:lastRenderedPageBreak/>
              <w:t>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w:t>
            </w:r>
            <w:r w:rsidRPr="008305EE">
              <w:rPr>
                <w:sz w:val="26"/>
                <w:szCs w:val="26"/>
              </w:rPr>
              <w:lastRenderedPageBreak/>
              <w:t>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EF56BA" w:rsidRDefault="00EF56BA" w:rsidP="00EF56BA">
      <w:pPr>
        <w:spacing w:line="276" w:lineRule="auto"/>
        <w:ind w:firstLine="567"/>
        <w:jc w:val="both"/>
        <w:rPr>
          <w:sz w:val="26"/>
          <w:szCs w:val="26"/>
        </w:rPr>
      </w:pPr>
      <w:r>
        <w:rPr>
          <w:sz w:val="26"/>
          <w:szCs w:val="26"/>
        </w:rPr>
        <w:t>Срок поставки продукции</w:t>
      </w:r>
      <w:r w:rsidRPr="002C3FBC">
        <w:rPr>
          <w:sz w:val="26"/>
          <w:szCs w:val="26"/>
        </w:rPr>
        <w:t xml:space="preserve"> составляет ____  календарных дней.</w:t>
      </w:r>
    </w:p>
    <w:p w:rsidR="00EF56BA" w:rsidRPr="002C3FBC" w:rsidRDefault="00EF56BA" w:rsidP="00EF56BA">
      <w:pPr>
        <w:spacing w:line="276" w:lineRule="auto"/>
        <w:ind w:firstLine="567"/>
        <w:jc w:val="both"/>
        <w:rPr>
          <w:sz w:val="26"/>
          <w:szCs w:val="26"/>
        </w:rPr>
      </w:pPr>
      <w:r>
        <w:rPr>
          <w:sz w:val="26"/>
          <w:szCs w:val="26"/>
        </w:rPr>
        <w:t>Имеется наличие опыта работы на рынке не менее 5 лет.</w:t>
      </w:r>
    </w:p>
    <w:p w:rsidR="00EF56BA" w:rsidRDefault="00EF56BA" w:rsidP="00EF56BA">
      <w:pPr>
        <w:pStyle w:val="Default"/>
        <w:rPr>
          <w:sz w:val="26"/>
          <w:szCs w:val="26"/>
        </w:rPr>
      </w:pPr>
      <w:r>
        <w:rPr>
          <w:sz w:val="26"/>
          <w:szCs w:val="26"/>
        </w:rPr>
        <w:t xml:space="preserve">        Предлагаем следующий график оплаты продукции:</w:t>
      </w:r>
    </w:p>
    <w:p w:rsidR="00EF56BA" w:rsidRPr="00486816" w:rsidRDefault="00EF56BA" w:rsidP="00EF56BA">
      <w:pPr>
        <w:pStyle w:val="34"/>
        <w:ind w:left="0"/>
        <w:rPr>
          <w:sz w:val="26"/>
          <w:szCs w:val="26"/>
        </w:rPr>
      </w:pPr>
      <w:r>
        <w:rPr>
          <w:lang w:eastAsia="zh-CN"/>
        </w:rPr>
        <w:t xml:space="preserve">                </w:t>
      </w:r>
      <w:r w:rsidRPr="00486816">
        <w:rPr>
          <w:sz w:val="26"/>
          <w:szCs w:val="26"/>
        </w:rPr>
        <w:t xml:space="preserve">-  </w:t>
      </w:r>
      <w:r>
        <w:rPr>
          <w:sz w:val="26"/>
          <w:szCs w:val="26"/>
        </w:rPr>
        <w:t>__</w:t>
      </w:r>
      <w:r w:rsidRPr="00486816">
        <w:rPr>
          <w:sz w:val="26"/>
          <w:szCs w:val="26"/>
        </w:rPr>
        <w:t xml:space="preserve"> % оплаты Покупатель производит после подписания </w:t>
      </w:r>
      <w:r>
        <w:rPr>
          <w:sz w:val="26"/>
          <w:szCs w:val="26"/>
        </w:rPr>
        <w:t>сторонами договора на поставку в течение 10 дней</w:t>
      </w:r>
      <w:r w:rsidRPr="00486816">
        <w:rPr>
          <w:sz w:val="26"/>
          <w:szCs w:val="26"/>
        </w:rPr>
        <w:t>;</w:t>
      </w:r>
    </w:p>
    <w:p w:rsidR="00EF56BA" w:rsidRPr="00486816" w:rsidRDefault="00EF56BA" w:rsidP="00EF56BA">
      <w:pPr>
        <w:pStyle w:val="34"/>
        <w:ind w:left="0"/>
        <w:rPr>
          <w:sz w:val="26"/>
          <w:szCs w:val="26"/>
        </w:rPr>
      </w:pPr>
      <w:r>
        <w:rPr>
          <w:sz w:val="26"/>
          <w:szCs w:val="26"/>
        </w:rPr>
        <w:t xml:space="preserve">          </w:t>
      </w:r>
      <w:r w:rsidRPr="00486816">
        <w:rPr>
          <w:sz w:val="26"/>
          <w:szCs w:val="26"/>
        </w:rPr>
        <w:t xml:space="preserve">-  </w:t>
      </w:r>
      <w:r>
        <w:rPr>
          <w:sz w:val="26"/>
          <w:szCs w:val="26"/>
        </w:rPr>
        <w:t xml:space="preserve">__ </w:t>
      </w:r>
      <w:r w:rsidRPr="00486816">
        <w:rPr>
          <w:sz w:val="26"/>
          <w:szCs w:val="26"/>
        </w:rPr>
        <w:t xml:space="preserve">% оплаты  осуществляется Покупателем по факту </w:t>
      </w:r>
      <w:r>
        <w:rPr>
          <w:sz w:val="26"/>
          <w:szCs w:val="26"/>
        </w:rPr>
        <w:t>готовности Продукции к отгрузке;</w:t>
      </w:r>
    </w:p>
    <w:p w:rsidR="00EF56BA" w:rsidRPr="00386F37" w:rsidRDefault="00EF56BA" w:rsidP="00EF56BA">
      <w:pPr>
        <w:pStyle w:val="34"/>
        <w:rPr>
          <w:sz w:val="26"/>
          <w:szCs w:val="26"/>
        </w:rPr>
      </w:pPr>
      <w:r>
        <w:rPr>
          <w:sz w:val="26"/>
          <w:szCs w:val="26"/>
        </w:rPr>
        <w:t xml:space="preserve">     </w:t>
      </w:r>
      <w:r w:rsidRPr="00486816">
        <w:rPr>
          <w:sz w:val="26"/>
          <w:szCs w:val="26"/>
        </w:rPr>
        <w:t xml:space="preserve"> -   </w:t>
      </w:r>
      <w:r>
        <w:rPr>
          <w:sz w:val="26"/>
          <w:szCs w:val="26"/>
        </w:rPr>
        <w:t xml:space="preserve">__ </w:t>
      </w:r>
      <w:r w:rsidRPr="00486816">
        <w:rPr>
          <w:sz w:val="26"/>
          <w:szCs w:val="26"/>
        </w:rPr>
        <w:t xml:space="preserve">% оплаты </w:t>
      </w:r>
      <w:r>
        <w:rPr>
          <w:sz w:val="26"/>
          <w:szCs w:val="26"/>
        </w:rPr>
        <w:t>(</w:t>
      </w:r>
      <w:proofErr w:type="spellStart"/>
      <w:r>
        <w:rPr>
          <w:sz w:val="26"/>
          <w:szCs w:val="26"/>
        </w:rPr>
        <w:t>постоплата</w:t>
      </w:r>
      <w:proofErr w:type="spellEnd"/>
      <w:r>
        <w:rPr>
          <w:sz w:val="26"/>
          <w:szCs w:val="26"/>
        </w:rPr>
        <w:t>)</w:t>
      </w:r>
      <w:r w:rsidRPr="00486816">
        <w:rPr>
          <w:sz w:val="26"/>
          <w:szCs w:val="26"/>
        </w:rPr>
        <w:t xml:space="preserve"> -  в течение 30 календарных дней после отгрузки.</w:t>
      </w:r>
    </w:p>
    <w:p w:rsidR="00EF150D" w:rsidRPr="009D14C2" w:rsidRDefault="00EF150D" w:rsidP="00A713F4">
      <w:pPr>
        <w:pStyle w:val="Default"/>
        <w:rPr>
          <w:lang w:eastAsia="zh-CN"/>
        </w:rPr>
      </w:pP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lastRenderedPageBreak/>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C5" w:rsidRDefault="006A0CC5">
      <w:r>
        <w:separator/>
      </w:r>
    </w:p>
  </w:endnote>
  <w:endnote w:type="continuationSeparator" w:id="0">
    <w:p w:rsidR="006A0CC5" w:rsidRDefault="006A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C5" w:rsidRDefault="006A0CC5">
      <w:r>
        <w:separator/>
      </w:r>
    </w:p>
  </w:footnote>
  <w:footnote w:type="continuationSeparator" w:id="0">
    <w:p w:rsidR="006A0CC5" w:rsidRDefault="006A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C94DD3">
    <w:pPr>
      <w:rPr>
        <w:sz w:val="2"/>
        <w:szCs w:val="2"/>
      </w:rPr>
    </w:pPr>
    <w:r w:rsidRPr="00C94DD3">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DB4"/>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1F49"/>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23F"/>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3978"/>
    <w:rsid w:val="00743C46"/>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6D4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4DD3"/>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3F66"/>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173E"/>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56BA"/>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5F56-7007-4C57-B285-A86E9CE6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4287</Words>
  <Characters>31483</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35699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6</cp:revision>
  <cp:lastPrinted>2021-05-12T07:13:00Z</cp:lastPrinted>
  <dcterms:created xsi:type="dcterms:W3CDTF">2021-07-07T10:28:00Z</dcterms:created>
  <dcterms:modified xsi:type="dcterms:W3CDTF">2021-08-31T14:09:00Z</dcterms:modified>
</cp:coreProperties>
</file>